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750" w:type="dxa"/>
        <w:tblLook w:val="04A0" w:firstRow="1" w:lastRow="0" w:firstColumn="1" w:lastColumn="0" w:noHBand="0" w:noVBand="1"/>
        <w:tblCaption w:val="גילוי גנים המקודדים לחלבוני ה-DAP, הקשורים לתהליכי מוות בתאים"/>
      </w:tblPr>
      <w:tblGrid>
        <w:gridCol w:w="1523"/>
        <w:gridCol w:w="7227"/>
      </w:tblGrid>
      <w:tr w:rsidR="000238CB" w:rsidTr="000238CB">
        <w:trPr>
          <w:trHeight w:val="706"/>
        </w:trPr>
        <w:tc>
          <w:tcPr>
            <w:tcW w:w="1523" w:type="dxa"/>
          </w:tcPr>
          <w:p w:rsidR="000238CB" w:rsidRPr="00E9516D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السنة</w:t>
            </w:r>
          </w:p>
        </w:tc>
        <w:tc>
          <w:tcPr>
            <w:tcW w:w="7227" w:type="dxa"/>
          </w:tcPr>
          <w:p w:rsidR="000238CB" w:rsidRDefault="000238CB" w:rsidP="00941707">
            <w:pPr>
              <w:rPr>
                <w:rtl/>
              </w:rPr>
            </w:pPr>
            <w:r w:rsidRPr="004B16FC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1997</w:t>
            </w:r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Pr="00E9516D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227" w:type="dxa"/>
          </w:tcPr>
          <w:p w:rsidR="000238CB" w:rsidRPr="008B5033" w:rsidRDefault="005D7F09" w:rsidP="000238CB">
            <w:pPr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اكتشاف الجينات المشفّر</w:t>
            </w:r>
            <w:r w:rsidR="000238CB">
              <w:rPr>
                <w:rFonts w:hint="cs"/>
                <w:rtl/>
                <w:lang w:bidi="ar-SA"/>
              </w:rPr>
              <w:t xml:space="preserve">ة للبروتينات </w:t>
            </w:r>
            <w:r w:rsidR="000238CB">
              <w:t>D</w:t>
            </w:r>
            <w:r w:rsidR="000238CB">
              <w:rPr>
                <w:rFonts w:hint="cs"/>
              </w:rPr>
              <w:t>A</w:t>
            </w:r>
            <w:r w:rsidR="000238CB">
              <w:t xml:space="preserve">P </w:t>
            </w:r>
            <w:r w:rsidR="000238C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المرتبطة بعمليات موت الخلايا</w:t>
            </w:r>
          </w:p>
        </w:tc>
      </w:tr>
      <w:tr w:rsidR="000238CB" w:rsidTr="000238CB">
        <w:trPr>
          <w:trHeight w:val="706"/>
        </w:trPr>
        <w:tc>
          <w:tcPr>
            <w:tcW w:w="1523" w:type="dxa"/>
          </w:tcPr>
          <w:p w:rsidR="000238CB" w:rsidRPr="00E9516D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الباحثون المشتركون</w:t>
            </w:r>
          </w:p>
        </w:tc>
        <w:tc>
          <w:tcPr>
            <w:tcW w:w="7227" w:type="dxa"/>
          </w:tcPr>
          <w:p w:rsidR="000238CB" w:rsidRPr="008B5033" w:rsidRDefault="000238CB" w:rsidP="00941707">
            <w:pPr>
              <w:rPr>
                <w:rtl/>
                <w:lang w:bidi="ar-SA"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  <w:lang w:bidi="ar-SA"/>
              </w:rPr>
              <w:t>بروفيسور عدي كمحي</w:t>
            </w:r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صور الباحثون</w:t>
            </w:r>
          </w:p>
        </w:tc>
        <w:tc>
          <w:tcPr>
            <w:tcW w:w="7227" w:type="dxa"/>
          </w:tcPr>
          <w:p w:rsidR="000238CB" w:rsidRPr="000A1517" w:rsidRDefault="000238CB" w:rsidP="000238C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02D730A" wp14:editId="1AA34377">
                  <wp:extent cx="2155825" cy="1256030"/>
                  <wp:effectExtent l="0" t="0" r="0" b="1270"/>
                  <wp:docPr id="95237" name="תמונה 95237" descr="פרופ' עדי קמח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פרופ' עדי קמח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>
                <w:rPr>
                  <w:rFonts w:cs="Arial" w:hint="cs"/>
                  <w:rtl/>
                  <w:lang w:bidi="ar-SA"/>
                </w:rPr>
                <w:t xml:space="preserve"> أُخذت الصور</w:t>
              </w:r>
              <w:r w:rsidRPr="00910ACD">
                <w:rPr>
                  <w:rFonts w:cs="Arial" w:hint="cs"/>
                  <w:rtl/>
                  <w:lang w:bidi="ar-SA"/>
                </w:rPr>
                <w:t xml:space="preserve"> من موقع جائزة </w:t>
              </w:r>
              <w:r w:rsidRPr="00910ACD">
                <w:rPr>
                  <w:rFonts w:cs="Arial"/>
                  <w:rtl/>
                  <w:lang w:bidi="ar-SA"/>
                </w:rPr>
                <w:t xml:space="preserve"> </w:t>
              </w:r>
              <w:proofErr w:type="spellStart"/>
              <w:r w:rsidRPr="00910ACD">
                <w:rPr>
                  <w:rFonts w:cs="Arial"/>
                  <w:rtl/>
                </w:rPr>
                <w:t>א.מ.ת</w:t>
              </w:r>
              <w:proofErr w:type="spellEnd"/>
              <w:r w:rsidRPr="00910ACD">
                <w:rPr>
                  <w:rFonts w:cs="Arial" w:hint="cs"/>
                  <w:rtl/>
                </w:rPr>
                <w:t xml:space="preserve"> (אמנות, מדע ותרבות </w:t>
              </w:r>
              <w:r w:rsidRPr="00910ACD">
                <w:rPr>
                  <w:rFonts w:cs="Arial"/>
                  <w:rtl/>
                </w:rPr>
                <w:t>–</w:t>
              </w:r>
              <w:r w:rsidRPr="00910ACD">
                <w:rPr>
                  <w:rFonts w:cs="Arial" w:hint="cs"/>
                  <w:rtl/>
                </w:rPr>
                <w:t xml:space="preserve"> </w:t>
              </w:r>
              <w:r w:rsidRPr="00910ACD">
                <w:rPr>
                  <w:rFonts w:cs="Arial" w:hint="cs"/>
                  <w:rtl/>
                  <w:lang w:bidi="ar-SA"/>
                </w:rPr>
                <w:t>الفن، العلم والثقافة)</w:t>
              </w:r>
            </w:hyperlink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المؤسسة الأكاديمية التي يعمل فيها الباحثون</w:t>
            </w:r>
          </w:p>
        </w:tc>
        <w:tc>
          <w:tcPr>
            <w:tcW w:w="7227" w:type="dxa"/>
          </w:tcPr>
          <w:p w:rsidR="000238CB" w:rsidRPr="005E60E7" w:rsidRDefault="000238CB" w:rsidP="000238C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SA"/>
              </w:rPr>
              <w:t>معهد وايزمن ل</w:t>
            </w:r>
            <w:r w:rsidR="005D7F09">
              <w:rPr>
                <w:rFonts w:asciiTheme="minorBidi" w:hAnsiTheme="minorBidi" w:hint="cs"/>
                <w:rtl/>
                <w:lang w:bidi="ar-SA"/>
              </w:rPr>
              <w:t>لعلوم، قسم علم الوراثة الجزيئية</w:t>
            </w:r>
            <w:r w:rsidRPr="005E60E7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جوائز مهمة حاز عليها الباحثون</w:t>
            </w:r>
          </w:p>
        </w:tc>
        <w:tc>
          <w:tcPr>
            <w:tcW w:w="7227" w:type="dxa"/>
          </w:tcPr>
          <w:p w:rsidR="000238CB" w:rsidRPr="005E60E7" w:rsidRDefault="000238CB" w:rsidP="000238CB">
            <w:pPr>
              <w:rPr>
                <w:rStyle w:val="Hyperlink"/>
                <w:rFonts w:ascii="Arial" w:hAnsi="Arial" w:cs="Arial"/>
                <w:color w:val="auto"/>
                <w:u w:val="none"/>
                <w:rtl/>
                <w:lang w:bidi="ar-SA"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  <w:lang w:bidi="ar-SA"/>
              </w:rPr>
              <w:t xml:space="preserve">حازت بروفيسور كمحي على </w:t>
            </w:r>
            <w:proofErr w:type="gramStart"/>
            <w:r>
              <w:rPr>
                <w:rStyle w:val="Hyperlink"/>
                <w:rFonts w:hint="cs"/>
                <w:color w:val="auto"/>
                <w:u w:val="none"/>
                <w:rtl/>
                <w:lang w:bidi="ar-SA"/>
              </w:rPr>
              <w:t xml:space="preserve">جائزة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</w:t>
            </w:r>
            <w:proofErr w:type="spellStart"/>
            <w:r w:rsidRPr="00910ACD">
              <w:rPr>
                <w:rFonts w:cs="Arial"/>
                <w:rtl/>
              </w:rPr>
              <w:t>א.מ.ת</w:t>
            </w:r>
            <w:proofErr w:type="spellEnd"/>
            <w:proofErr w:type="gramEnd"/>
            <w:r w:rsidRPr="00910ACD">
              <w:rPr>
                <w:rFonts w:cs="Arial" w:hint="cs"/>
                <w:rtl/>
              </w:rPr>
              <w:t xml:space="preserve"> (אמנות, מדע ותרבות </w:t>
            </w:r>
            <w:r w:rsidRPr="00910ACD">
              <w:rPr>
                <w:rFonts w:cs="Arial"/>
                <w:rtl/>
              </w:rPr>
              <w:t>–</w:t>
            </w:r>
            <w:r w:rsidRPr="00910ACD">
              <w:rPr>
                <w:rFonts w:cs="Arial" w:hint="cs"/>
                <w:rtl/>
              </w:rPr>
              <w:t xml:space="preserve"> </w:t>
            </w:r>
            <w:r w:rsidRPr="00910ACD">
              <w:rPr>
                <w:rFonts w:cs="Arial" w:hint="cs"/>
                <w:rtl/>
                <w:lang w:bidi="ar-SA"/>
              </w:rPr>
              <w:t>الفن، العلم والثقافة)</w:t>
            </w:r>
            <w:r>
              <w:rPr>
                <w:rFonts w:cs="Arial" w:hint="cs"/>
                <w:rtl/>
                <w:lang w:bidi="ar-SA"/>
              </w:rPr>
              <w:t xml:space="preserve"> سنة </w:t>
            </w:r>
            <w:r w:rsidRPr="005E60E7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2012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في مجال الفسيولوجيا.</w:t>
            </w:r>
          </w:p>
          <w:p w:rsidR="000238CB" w:rsidRPr="005E60E7" w:rsidRDefault="000238CB" w:rsidP="00941707">
            <w:pPr>
              <w:rPr>
                <w:rFonts w:asciiTheme="minorBidi" w:hAnsiTheme="minorBidi"/>
                <w:rtl/>
              </w:rPr>
            </w:pPr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Pr="00E9516D" w:rsidRDefault="000238CB" w:rsidP="006516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الموضوع في المنهج التعليمي الذي يمكن أن نربط بينه وبين الاكتشاف</w:t>
            </w:r>
          </w:p>
        </w:tc>
        <w:tc>
          <w:tcPr>
            <w:tcW w:w="7227" w:type="dxa"/>
          </w:tcPr>
          <w:p w:rsidR="000238CB" w:rsidRDefault="000238CB" w:rsidP="000238CB">
            <w:pPr>
              <w:rPr>
                <w:rFonts w:asciiTheme="minorBidi" w:eastAsia="Times New Roman" w:hAnsiTheme="minorBidi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>الخلي</w:t>
            </w:r>
            <w:r w:rsidR="005D7F09"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>ة</w:t>
            </w:r>
            <w:r w:rsidRPr="00AE00EF">
              <w:rPr>
                <w:rFonts w:asciiTheme="minorBidi" w:eastAsia="Times New Roman" w:hAnsiTheme="minorBidi"/>
                <w:b/>
                <w:bCs/>
                <w:rtl/>
              </w:rPr>
              <w:t xml:space="preserve"> – 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bidi="ar-SA"/>
              </w:rPr>
              <w:t>مبنى وأداء</w:t>
            </w:r>
          </w:p>
          <w:p w:rsidR="000238CB" w:rsidRDefault="000238CB" w:rsidP="000238CB">
            <w:pPr>
              <w:spacing w:before="40" w:after="40" w:line="230" w:lineRule="exact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ممي</w:t>
            </w:r>
            <w:r w:rsidR="005D7F09"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زات الحياة ومبنى الخلي</w:t>
            </w:r>
            <w:r w:rsidR="005D7F09"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 xml:space="preserve">ة </w:t>
            </w:r>
          </w:p>
          <w:p w:rsidR="000238CB" w:rsidRPr="003E658B" w:rsidRDefault="005D7F09" w:rsidP="000238CB">
            <w:pPr>
              <w:spacing w:before="40" w:after="40" w:line="230" w:lineRule="exact"/>
              <w:rPr>
                <w:rFonts w:asciiTheme="minorBidi" w:eastAsia="Times New Roman" w:hAnsiTheme="minorBidi"/>
                <w:lang w:bidi="ar-SA"/>
              </w:rPr>
            </w:pPr>
            <w:r>
              <w:rPr>
                <w:rFonts w:asciiTheme="minorBidi" w:eastAsia="Times New Roman" w:hAnsiTheme="minorBidi" w:hint="cs"/>
                <w:rtl/>
                <w:lang w:bidi="ar-SA"/>
              </w:rPr>
              <w:t>بيئة داخليّة ثا</w:t>
            </w:r>
            <w:r w:rsidR="000238CB">
              <w:rPr>
                <w:rFonts w:asciiTheme="minorBidi" w:eastAsia="Times New Roman" w:hAnsiTheme="minorBidi" w:hint="cs"/>
                <w:rtl/>
                <w:lang w:bidi="ar-SA"/>
              </w:rPr>
              <w:t xml:space="preserve">بتة، </w:t>
            </w:r>
            <w:proofErr w:type="spellStart"/>
            <w:r w:rsidR="000238CB">
              <w:rPr>
                <w:rFonts w:asciiTheme="minorBidi" w:eastAsia="Times New Roman" w:hAnsiTheme="minorBidi" w:hint="cs"/>
                <w:rtl/>
                <w:lang w:bidi="ar-SA"/>
              </w:rPr>
              <w:t>عضي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0238CB">
              <w:rPr>
                <w:rFonts w:asciiTheme="minorBidi" w:eastAsia="Times New Roman" w:hAnsiTheme="minorBidi" w:hint="cs"/>
                <w:rtl/>
                <w:lang w:bidi="ar-SA"/>
              </w:rPr>
              <w:t>ات</w:t>
            </w:r>
            <w:proofErr w:type="spellEnd"/>
            <w:r w:rsidR="000238CB">
              <w:rPr>
                <w:rFonts w:asciiTheme="minorBidi" w:eastAsia="Times New Roman" w:hAnsiTheme="minorBidi" w:hint="cs"/>
                <w:rtl/>
                <w:lang w:bidi="ar-SA"/>
              </w:rPr>
              <w:t xml:space="preserve"> الخلايا ووظائفها.</w:t>
            </w:r>
          </w:p>
          <w:p w:rsidR="000238CB" w:rsidRDefault="000238CB" w:rsidP="003E658B">
            <w:pPr>
              <w:rPr>
                <w:rFonts w:asciiTheme="minorBidi" w:eastAsia="Times New Roman" w:hAnsiTheme="minorBidi"/>
                <w:rtl/>
              </w:rPr>
            </w:pPr>
          </w:p>
          <w:p w:rsidR="000238CB" w:rsidRDefault="000238CB" w:rsidP="000238CB">
            <w:pPr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المكو</w:t>
            </w:r>
            <w:r w:rsidR="005D7F09"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نات الكيميائي</w:t>
            </w:r>
            <w:r w:rsidR="005D7F09"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 xml:space="preserve">ة للخلايا </w:t>
            </w:r>
            <w:r>
              <w:rPr>
                <w:rFonts w:asciiTheme="minorBidi" w:eastAsia="Times New Roman" w:hAnsiTheme="minorBidi" w:hint="cs"/>
                <w:rtl/>
              </w:rPr>
              <w:t xml:space="preserve"> (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دورة المواد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 العضوية في الخلي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ة) </w:t>
            </w:r>
          </w:p>
          <w:p w:rsidR="000238CB" w:rsidRDefault="000238CB" w:rsidP="00434D2A">
            <w:pPr>
              <w:rPr>
                <w:rFonts w:asciiTheme="minorBidi" w:eastAsia="Times New Roman" w:hAnsiTheme="minorBidi"/>
                <w:rtl/>
              </w:rPr>
            </w:pPr>
          </w:p>
          <w:p w:rsidR="000238CB" w:rsidRDefault="000238CB" w:rsidP="000238CB">
            <w:pPr>
              <w:spacing w:before="40" w:after="40" w:line="230" w:lineRule="exact"/>
              <w:rPr>
                <w:rFonts w:ascii="Arial" w:hAnsi="Arial" w:cs="David"/>
                <w:b/>
                <w:bCs/>
                <w:u w:val="single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 xml:space="preserve">من </w:t>
            </w:r>
            <w:r w:rsidRPr="00CD3D59">
              <w:rPr>
                <w:rFonts w:asciiTheme="minorBidi" w:eastAsia="Times New Roman" w:hAnsiTheme="minorBidi"/>
                <w:u w:val="single"/>
              </w:rPr>
              <w:t>DNA</w:t>
            </w:r>
            <w:r w:rsidRPr="00CD3D59">
              <w:rPr>
                <w:rFonts w:asciiTheme="minorBidi" w:eastAsia="Times New Roman" w:hAnsiTheme="minorBidi"/>
                <w:u w:val="single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u w:val="single"/>
                <w:rtl/>
                <w:lang w:bidi="ar-SA"/>
              </w:rPr>
              <w:t>إلى بروتين</w:t>
            </w:r>
          </w:p>
          <w:p w:rsidR="000238CB" w:rsidRPr="003E658B" w:rsidRDefault="000238CB" w:rsidP="00BB26B8">
            <w:pPr>
              <w:spacing w:before="40" w:after="40" w:line="230" w:lineRule="exact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  <w:lang w:bidi="ar-SA"/>
              </w:rPr>
              <w:t>عندما يحد</w:t>
            </w:r>
            <w:r w:rsidR="005D7F09">
              <w:rPr>
                <w:rFonts w:ascii="Arial" w:hAnsi="Arial" w:cs="Arial" w:hint="cs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rtl/>
                <w:lang w:bidi="ar-SA"/>
              </w:rPr>
              <w:t>ث تمايز في كائنات حي</w:t>
            </w:r>
            <w:r w:rsidR="005D7F09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>ة متعد</w:t>
            </w:r>
            <w:r w:rsidR="005D7F09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>دة الخلايا يتم</w:t>
            </w:r>
            <w:r w:rsidR="005D7F09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 تحديد وظائف مختلفة في الخلي</w:t>
            </w:r>
            <w:r w:rsidR="005D7F09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>ة بواسطة عملي</w:t>
            </w:r>
            <w:r w:rsidR="005D7F09">
              <w:rPr>
                <w:rFonts w:ascii="Arial" w:hAnsi="Arial" w:cs="Arial" w:hint="cs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ات مراقبة </w:t>
            </w:r>
            <w:r w:rsidR="005D7F09">
              <w:rPr>
                <w:rFonts w:ascii="Arial" w:hAnsi="Arial" w:cs="Arial" w:hint="cs"/>
                <w:rtl/>
                <w:lang w:bidi="ar-SA"/>
              </w:rPr>
              <w:t>على ن</w:t>
            </w:r>
            <w:r w:rsidR="00BB26B8">
              <w:rPr>
                <w:rFonts w:ascii="Arial" w:hAnsi="Arial" w:cs="Arial" w:hint="cs"/>
                <w:rtl/>
                <w:lang w:bidi="ar-SA"/>
              </w:rPr>
              <w:t xml:space="preserve">شاط الجينات (تشغيل، اخماد). </w:t>
            </w:r>
          </w:p>
        </w:tc>
      </w:tr>
      <w:tr w:rsidR="000238CB" w:rsidTr="000238CB">
        <w:trPr>
          <w:trHeight w:val="706"/>
        </w:trPr>
        <w:tc>
          <w:tcPr>
            <w:tcW w:w="1523" w:type="dxa"/>
          </w:tcPr>
          <w:p w:rsidR="000238CB" w:rsidRDefault="000238CB" w:rsidP="006516A4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"</w:t>
            </w:r>
            <w:r>
              <w:rPr>
                <w:b/>
                <w:bCs/>
                <w:sz w:val="24"/>
                <w:szCs w:val="24"/>
                <w:rtl/>
                <w:lang w:bidi="ar-SA"/>
              </w:rPr>
              <w:t>قصة الاكتشاف" الاكتشاف والعمل العلمي للباحثين</w:t>
            </w:r>
          </w:p>
        </w:tc>
        <w:tc>
          <w:tcPr>
            <w:tcW w:w="7227" w:type="dxa"/>
          </w:tcPr>
          <w:p w:rsidR="000238CB" w:rsidRPr="00FB6B43" w:rsidRDefault="00BB26B8" w:rsidP="005D7F09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  <w:lang w:bidi="ar-SA"/>
              </w:rPr>
              <w:t>تتناول أبحاث بروفسور عدي كمحي موت الخلايا المبرمج ، ت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ُ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بيد الخلايا ذاتها في هذه العملي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ة بطريقة تخضع للمراقبة. عزلت في مختبرها عائلة جديدة من الجينات المسم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اة </w:t>
            </w:r>
            <w:r w:rsidR="000238CB" w:rsidRPr="00FB6B43">
              <w:rPr>
                <w:rFonts w:asciiTheme="minorBidi" w:eastAsia="Times New Roman" w:hAnsiTheme="minorBidi"/>
                <w:rtl/>
              </w:rPr>
              <w:t xml:space="preserve">  </w:t>
            </w:r>
            <w:r w:rsidR="000238CB" w:rsidRPr="00FB6B43">
              <w:rPr>
                <w:rFonts w:asciiTheme="minorBidi" w:eastAsia="Times New Roman" w:hAnsiTheme="minorBidi"/>
              </w:rPr>
              <w:t xml:space="preserve">Death Associated Proteins genes </w:t>
            </w:r>
            <w:r w:rsidR="000238CB" w:rsidRPr="00FB6B43">
              <w:rPr>
                <w:rFonts w:asciiTheme="minorBidi" w:eastAsia="Times New Roman" w:hAnsiTheme="minorBidi"/>
                <w:rtl/>
              </w:rPr>
              <w:t>‏</w:t>
            </w:r>
            <w:r>
              <w:rPr>
                <w:rFonts w:asciiTheme="minorBidi" w:eastAsia="Times New Roman" w:hAnsiTheme="minorBidi"/>
              </w:rPr>
              <w:t xml:space="preserve"> </w:t>
            </w:r>
            <w:r w:rsidR="000238CB" w:rsidRPr="00FB6B43">
              <w:rPr>
                <w:rFonts w:asciiTheme="minorBidi" w:eastAsia="Times New Roman" w:hAnsiTheme="minorBidi"/>
              </w:rPr>
              <w:t xml:space="preserve">(DAP genes) 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 xml:space="preserve">، وهي تُستخدم 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عوامل مركزي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ة في مراقبة موت الخلايا. تمّ عزل الجينات بواسطة طريقة طلائعية طو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رتها بروفيسور 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ك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محي في مختبرها سُم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يت "انتخاب تقني بضربة قاضية"، وهي تعتمد على مسح أداء الخلي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ة بعد إخماد الجينات، وقد حازت هذه الطريقة على اعتراف دولي واسع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. استعملت هذه الطريقة،  في أبحاثها، كي تفحص متى لا تعمل جي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دًا الجينات المرتبطة بموت الخلايا المبرمج، هذا يعني أن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ه متى يجب أن تمر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 xml:space="preserve"> الخلايا بموت مبرمج لكنها لا تفعل ذلك، وعندئذٍ يتم عزل الجين المصاب الخاص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، في هذه الخلايا، المرتبط بعملي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ة موت الخلايا. نجح فريق بروفيسور كمحي بواسطة هذه الطريقة أن يكتشف، سنة 1997، الجينات المشف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رة للبروتينات المسم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 xml:space="preserve">اة </w:t>
            </w:r>
            <w:r w:rsidR="000238CB" w:rsidRPr="008F27E1">
              <w:rPr>
                <w:rFonts w:asciiTheme="minorBidi" w:eastAsia="Times New Roman" w:hAnsiTheme="minorBidi"/>
              </w:rPr>
              <w:t>DAP</w:t>
            </w:r>
            <w:r w:rsidR="001D1EAC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والمرتبطة بعملي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>ات تؤد</w:t>
            </w:r>
            <w:r w:rsidR="005D7F0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1D1EAC">
              <w:rPr>
                <w:rFonts w:asciiTheme="minorBidi" w:eastAsia="Times New Roman" w:hAnsiTheme="minorBidi" w:hint="cs"/>
                <w:rtl/>
                <w:lang w:bidi="ar-SA"/>
              </w:rPr>
              <w:t xml:space="preserve">ي إلى موت الخلايا. </w:t>
            </w:r>
            <w:r w:rsidR="000238CB" w:rsidRPr="008F27E1">
              <w:rPr>
                <w:rFonts w:asciiTheme="minorBidi" w:eastAsia="Times New Roman" w:hAnsiTheme="minorBidi"/>
                <w:rtl/>
              </w:rPr>
              <w:t xml:space="preserve"> </w:t>
            </w:r>
          </w:p>
          <w:p w:rsidR="00697DA9" w:rsidRPr="00E815CE" w:rsidRDefault="001D1EAC" w:rsidP="00697DA9">
            <w:pPr>
              <w:pStyle w:val="NormalWeb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bidi="ar-SA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تفقد أجسامنا، خلال الحياة، ملايين الخلايا التي يتوقف أداءها السليم وتموت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. سير الأداء في الكائنات الحي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المتعد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دة الخلايا، بما في ذلك ما يحد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ُ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ث في الإنسان، مرتبط بقدرة الجسم على إنتاج خلايا جديدة كل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الوقت وبقدرته على إبادة خلايا معي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نة بشكل مبرمج ومراقب. يحد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ُ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ث موت الخلايا المبرمج في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حالات مختلفة، مثل: هرم الخلايا، 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عدم أداءها السليم، عندما ت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َ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ن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ْ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ت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ُ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ج خلايا بكم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ات كبيرة وت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َ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ن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ْ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ت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ُ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ج فوضى قد تتحو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ل إلى سرطان، أو في حالة وجود خلل وراثي يؤد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ي إلى تطو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ر الخلي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بطريقة غير سليمة. يخضع موت الخلايا ل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ل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مراقبة 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وراثية </w:t>
            </w:r>
            <w:r w:rsidR="003B3432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–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جزيئية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التي</w:t>
            </w:r>
            <w:r w:rsidR="003B3432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تمّ الحفاظ عليها خلال النشوء والارتقاء من الفطريات إلى الديدان حتى الإنسان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. هناك أهم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كبيرة لموت الخلايا المبرمج في تطو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ر الجنين. موت الخلايا 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lastRenderedPageBreak/>
              <w:t>المخطط مسبقًا يوج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ه تطو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ر الكائنات الحي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المتعد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دة الخلايا بشكل جي</w:t>
            </w:r>
            <w:r w:rsidR="005D7F0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د، من المرحلة الجنينية حتى مرحلة البلوغ. يتحقق هذا التطو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ر بواسطة موت فئة من الخلايا خلال التطو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ر، وأحيانًا نتيجة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ً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لإبعاد أعضاء كاملة، مثل: فقدان ذنب شرغوف الضفدع خلال تحو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له إلى بالغ، فقدان ا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لأغشية التي تربط بين مفاصل أصابع</w:t>
            </w:r>
            <w:r w:rsidR="00697DA9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جنين الإنسان في رحم الأُم.</w:t>
            </w:r>
            <w:r w:rsidR="005250C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0238CB" w:rsidRDefault="00697DA9" w:rsidP="0014745A">
            <w:pPr>
              <w:pStyle w:val="NormalWeb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الموت المبرمج للخلايا مرتبط بأمراض وراثية وأمراض م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كتسبة. أحد هذه الأمراض هو السرطان. عندما يطرأ تثبيط بعملي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ة موت الخلايا المبرمج </w:t>
            </w:r>
            <w:r w:rsidRPr="000A3666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نتيجة</w:t>
            </w:r>
            <w:r w:rsidR="000A3666" w:rsidRPr="000A3666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ً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لخلل في المراقب يطرأ انخفاض في عدد الخلايا التي تموت ويتطو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ر سرطان</w:t>
            </w:r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. يؤد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ي الخلل في مراقبة عملي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موت الخلايا إلى تسريع العملي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وإلى ازدياد عدد الخلايا التي تموت، مم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 يساهم ذلك في تطو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ر وتفاقم ضمور خلايا عصبية في الدماغ لدى مرضى </w:t>
            </w:r>
            <w:proofErr w:type="spellStart"/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الإلزهايمر</w:t>
            </w:r>
            <w:proofErr w:type="spellEnd"/>
            <w:r w:rsidR="0014745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والباركنسون على سبيل المثال.</w:t>
            </w:r>
            <w:r w:rsidR="005250C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256BEA" w:rsidRDefault="0014745A" w:rsidP="000A3666">
            <w:pPr>
              <w:pStyle w:val="NormalWeb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بفضل الجينات التي تمّ عزلها، في مختبر بروفيسور كمحي، وبفضل بحث طرق مختلفة لموت الخلايا </w:t>
            </w:r>
            <w:proofErr w:type="gramStart"/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المبرمج  تمّ</w:t>
            </w:r>
            <w:proofErr w:type="gramEnd"/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اكتشاف مسارات </w:t>
            </w:r>
            <w:proofErr w:type="spellStart"/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بيوكيميائي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</w:t>
            </w:r>
            <w:proofErr w:type="spellEnd"/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جديدة تشترك فيها هذه الجينات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.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تبحث بروفيسور كمحي عدد آليات موت الخلايا المبرمج، والسؤال الذي تبحثه هو: 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كم آلية مختلفة تؤد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ي إلى نفس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نتيجة موت 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خلايا 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مبرمج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؟ 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تشمل الآليات </w:t>
            </w:r>
            <w:proofErr w:type="spellStart"/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الاستماتة</w:t>
            </w:r>
            <w:proofErr w:type="spellEnd"/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(تتحلل الخلي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في هذه العملي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إلى أقسام صغيرة و "تؤكل" بواسطة خلايا مجاورة)، التهام ذاتي (تهضم الخلي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نفسها من الداخل بواسطة إنتاج حويصلات خاص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ة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تقوم برزم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عضيات</w:t>
            </w:r>
            <w:proofErr w:type="spellEnd"/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داخلي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وأقسام الخلي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ة، وتنقل المحتوى إلى تحليل كامل في </w:t>
            </w:r>
            <w:proofErr w:type="spellStart"/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الليزوزيم</w:t>
            </w:r>
            <w:proofErr w:type="spellEnd"/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) والنخر المبرمج (يؤد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ّي هذا المسار إلى تحليل 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غشاء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الخليّة </w:t>
            </w:r>
            <w:r w:rsidR="00B16577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الخارجي بشكل</w:t>
            </w:r>
            <w:r w:rsidR="00256BE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سريع، وهو ينتهي بانفجار الخلي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256BE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ة وسكب محتواها إلى الخارج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)</w:t>
            </w:r>
            <w:r w:rsidR="00256BE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. في أعقاب ذلك يتم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 w:rsidR="00256BE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تفعيل أنظمة طوارئ، مثلًا: التهاب في مكان الحدث.</w:t>
            </w:r>
          </w:p>
          <w:p w:rsidR="000238CB" w:rsidRPr="001A460E" w:rsidRDefault="00256BEA" w:rsidP="000A3666">
            <w:pPr>
              <w:pStyle w:val="NormalWeb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يتم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تفعيل آليات الموت بواسطة بروتينات مختلفة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وتتم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مراقبتها بشكل مختلف، لكن هناك بروتينات مشتركة لها، وهي تستطيع أن تحد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د المسار الذي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يحدُث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. فحصت بروفسور كمحي خلال عشرات السنوات جوانب مختلفة للالتهام الذاتي، من بينها مساهمة هذه العملية في مراقبة قرار</w:t>
            </w:r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اختيار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الخلية </w:t>
            </w:r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ما بين الحياة والموت، العلاقة الجريئة بين الالتهام الذاتي </w:t>
            </w:r>
            <w:proofErr w:type="spellStart"/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والاستماتة</w:t>
            </w:r>
            <w:proofErr w:type="spellEnd"/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التي تتم عبر بروتينات تتميّز بنشاط مزدوج، وعبر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آ</w:t>
            </w:r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ليات احتياط تعمل كرد فعل ل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ل</w:t>
            </w:r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خلل </w:t>
            </w:r>
            <w:r w:rsidR="000A3666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ال</w:t>
            </w:r>
            <w:r w:rsidR="00CA1EBE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وراثي.</w:t>
            </w:r>
            <w:r w:rsidR="005250CA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</w:t>
            </w:r>
            <w:bookmarkStart w:id="0" w:name="_GoBack"/>
            <w:bookmarkEnd w:id="0"/>
          </w:p>
          <w:p w:rsidR="000238CB" w:rsidRDefault="00CA1EBE" w:rsidP="00CA1EBE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أحد الجينات الذي عزلته بروفيسور كمحي هو </w:t>
            </w:r>
            <w:proofErr w:type="gramStart"/>
            <w:r w:rsidR="000238CB" w:rsidRPr="00FB6B43">
              <w:rPr>
                <w:rFonts w:asciiTheme="minorBidi" w:eastAsia="Times New Roman" w:hAnsiTheme="minorBidi"/>
              </w:rPr>
              <w:t xml:space="preserve">DAPK </w:t>
            </w:r>
            <w:r w:rsidR="000238CB" w:rsidRPr="00FB6B43">
              <w:rPr>
                <w:rFonts w:asciiTheme="minorBidi" w:eastAsia="Times New Roman" w:hAnsiTheme="minorBidi"/>
                <w:rtl/>
              </w:rPr>
              <w:t xml:space="preserve"> (</w:t>
            </w:r>
            <w:proofErr w:type="gramEnd"/>
            <w:r w:rsidR="000238CB" w:rsidRPr="00FB6B43">
              <w:rPr>
                <w:rFonts w:asciiTheme="minorBidi" w:eastAsia="Times New Roman" w:hAnsiTheme="minorBidi"/>
              </w:rPr>
              <w:t>DAP Kinase</w:t>
            </w:r>
            <w:r w:rsidR="000238CB" w:rsidRPr="00FB6B43">
              <w:rPr>
                <w:rFonts w:asciiTheme="minorBidi" w:eastAsia="Times New Roman" w:hAnsiTheme="minorBidi"/>
                <w:rtl/>
              </w:rPr>
              <w:t xml:space="preserve">). 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يخمد هذا الجين تطو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ر السرطان، وت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ُ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>ستخدم إصابة نشاطه مؤشر لتطو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ر نمو 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ال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سرطان. هذا الجين هو أحد الحلقات التي تربط بين </w:t>
            </w:r>
            <w:proofErr w:type="spellStart"/>
            <w:r>
              <w:rPr>
                <w:rFonts w:asciiTheme="minorBidi" w:eastAsia="Times New Roman" w:hAnsiTheme="minorBidi" w:hint="cs"/>
                <w:rtl/>
                <w:lang w:bidi="ar-SA"/>
              </w:rPr>
              <w:t>الاستماتة</w:t>
            </w:r>
            <w:proofErr w:type="spellEnd"/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 والالتهام الذاتي.</w:t>
            </w:r>
            <w:r w:rsidR="000238CB" w:rsidRPr="00FB6B43">
              <w:rPr>
                <w:rFonts w:asciiTheme="minorBidi" w:eastAsia="Times New Roman" w:hAnsiTheme="minorBidi"/>
              </w:rPr>
              <w:t> </w:t>
            </w:r>
          </w:p>
          <w:p w:rsidR="000238CB" w:rsidRPr="00FB6B43" w:rsidRDefault="000238CB" w:rsidP="00476F6A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  <w:r w:rsidRPr="006D5F4A">
              <w:rPr>
                <w:rFonts w:asciiTheme="minorBidi" w:eastAsia="Times New Roman" w:hAnsiTheme="minorBidi"/>
              </w:rPr>
              <w:t>DAP-kinase</w:t>
            </w:r>
            <w:r>
              <w:rPr>
                <w:rFonts w:asciiTheme="minorBidi" w:eastAsia="Times New Roman" w:hAnsiTheme="minorBidi"/>
                <w:rtl/>
              </w:rPr>
              <w:t xml:space="preserve"> 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يشف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ر لإنزيم يقوم بعملي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ة إضافة فوسفات، وهو يرتبط بهيكل الخلي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ة المسؤول عن إبادة الخلي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ة التي تبدأ بعملي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 xml:space="preserve">ة التحوّل 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 xml:space="preserve">السرطاني. وهذا في الواقع آلية تقوم </w:t>
            </w:r>
            <w:r w:rsidR="00987419">
              <w:rPr>
                <w:rFonts w:asciiTheme="minorBidi" w:eastAsia="Times New Roman" w:hAnsiTheme="minorBidi"/>
                <w:rtl/>
                <w:lang w:bidi="ar-SA"/>
              </w:rPr>
              <w:t>ﺒ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 xml:space="preserve"> "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تنظيف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"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 xml:space="preserve"> الأنسجة من خلايا تحمل إصابات سرطانية ابتدائي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ة. ت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ُ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عطل إصابة</w:t>
            </w:r>
            <w:r w:rsidRPr="006D5F4A">
              <w:rPr>
                <w:rFonts w:asciiTheme="minorBidi" w:eastAsia="Times New Roman" w:hAnsiTheme="minorBidi"/>
                <w:rtl/>
              </w:rPr>
              <w:t xml:space="preserve"> </w:t>
            </w:r>
            <w:r w:rsidRPr="006D5F4A">
              <w:rPr>
                <w:rFonts w:asciiTheme="minorBidi" w:eastAsia="Times New Roman" w:hAnsiTheme="minorBidi"/>
              </w:rPr>
              <w:t>DAP-kinase</w:t>
            </w:r>
            <w:r w:rsidRPr="006D5F4A">
              <w:rPr>
                <w:rFonts w:asciiTheme="minorBidi" w:eastAsia="Times New Roman" w:hAnsiTheme="minorBidi"/>
                <w:rtl/>
              </w:rPr>
              <w:t xml:space="preserve"> 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موت الخلايا المبرمج وتُتيح تطو</w:t>
            </w:r>
            <w:r w:rsidR="00987419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 xml:space="preserve">ر نمو سرطان. وُجدت إصابات في  </w:t>
            </w:r>
            <w:r w:rsidRPr="006D5F4A">
              <w:rPr>
                <w:rFonts w:asciiTheme="minorBidi" w:eastAsia="Times New Roman" w:hAnsiTheme="minorBidi"/>
              </w:rPr>
              <w:t>DAP-kinase</w:t>
            </w:r>
            <w:r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 xml:space="preserve">لدى مرضى سرطان الرئتين، سرطان الثدي، سرطان الرأس والعنق وفي سرطان </w:t>
            </w:r>
            <w:proofErr w:type="spellStart"/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>الليمفا</w:t>
            </w:r>
            <w:proofErr w:type="spellEnd"/>
            <w:r w:rsidR="00476F6A">
              <w:rPr>
                <w:rFonts w:asciiTheme="minorBidi" w:eastAsia="Times New Roman" w:hAnsiTheme="minorBidi" w:hint="cs"/>
                <w:rtl/>
                <w:lang w:bidi="ar-SA"/>
              </w:rPr>
              <w:t xml:space="preserve"> من نوع  </w:t>
            </w:r>
            <w:r w:rsidRPr="006D5F4A">
              <w:rPr>
                <w:rFonts w:asciiTheme="minorBidi" w:eastAsia="Times New Roman" w:hAnsiTheme="minorBidi"/>
              </w:rPr>
              <w:t>B</w:t>
            </w:r>
            <w:r>
              <w:rPr>
                <w:rFonts w:asciiTheme="minorBidi" w:eastAsia="Times New Roman" w:hAnsiTheme="minorBidi" w:hint="cs"/>
                <w:rtl/>
              </w:rPr>
              <w:t>.</w:t>
            </w:r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Pr="00E9516D" w:rsidRDefault="000238CB" w:rsidP="006516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lastRenderedPageBreak/>
              <w:t>فعّاليّات للتلاميذ، مقالات وأفلام قصيرة</w:t>
            </w:r>
          </w:p>
        </w:tc>
        <w:tc>
          <w:tcPr>
            <w:tcW w:w="7227" w:type="dxa"/>
          </w:tcPr>
          <w:p w:rsidR="000238CB" w:rsidRPr="00B45E0B" w:rsidRDefault="005250CA" w:rsidP="00B45E0B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/>
              </w:rPr>
            </w:pPr>
            <w:hyperlink r:id="rId7" w:history="1">
              <w:r w:rsidR="000238CB" w:rsidRPr="00B45E0B">
                <w:rPr>
                  <w:rStyle w:val="Hyperlink"/>
                  <w:rFonts w:ascii="Arial" w:hAnsi="Arial"/>
                  <w:rtl/>
                </w:rPr>
                <w:t xml:space="preserve">מערך שעור בנושא </w:t>
              </w:r>
              <w:proofErr w:type="spellStart"/>
              <w:r w:rsidR="000238CB" w:rsidRPr="00B45E0B">
                <w:rPr>
                  <w:rStyle w:val="Hyperlink"/>
                  <w:rFonts w:ascii="Arial" w:hAnsi="Arial"/>
                  <w:rtl/>
                </w:rPr>
                <w:t>אפופטוזיס</w:t>
              </w:r>
              <w:proofErr w:type="spellEnd"/>
            </w:hyperlink>
            <w:r w:rsidR="000238CB" w:rsidRPr="00B45E0B">
              <w:rPr>
                <w:rFonts w:ascii="Arial" w:hAnsi="Arial"/>
                <w:rtl/>
              </w:rPr>
              <w:t xml:space="preserve"> (2004) כרמלה </w:t>
            </w:r>
            <w:proofErr w:type="spellStart"/>
            <w:r w:rsidR="000238CB" w:rsidRPr="00B45E0B">
              <w:rPr>
                <w:rFonts w:ascii="Arial" w:hAnsi="Arial"/>
                <w:rtl/>
              </w:rPr>
              <w:t>יגב</w:t>
            </w:r>
            <w:proofErr w:type="spellEnd"/>
            <w:r w:rsidR="000238CB" w:rsidRPr="00B45E0B">
              <w:rPr>
                <w:rFonts w:ascii="Arial" w:hAnsi="Arial"/>
                <w:rtl/>
              </w:rPr>
              <w:t>, בעלון למורי הביולוגיה, גיליון 170. מערך השיעור מבוסס על שאלות לדיון ומלווה בשקפים המספקים את המידע הנחוץ</w:t>
            </w:r>
            <w:r w:rsidR="000238CB" w:rsidRPr="00B45E0B">
              <w:rPr>
                <w:rFonts w:ascii="Arial" w:hAnsi="Arial" w:hint="cs"/>
                <w:rtl/>
              </w:rPr>
              <w:t xml:space="preserve"> (</w:t>
            </w:r>
            <w:r w:rsidR="000238CB" w:rsidRPr="00B45E0B">
              <w:rPr>
                <w:rFonts w:ascii="Arial" w:hAnsi="Arial"/>
                <w:rtl/>
              </w:rPr>
              <w:t xml:space="preserve">את השקפים ניתן למצוא גם </w:t>
            </w:r>
            <w:hyperlink r:id="rId8" w:history="1">
              <w:r w:rsidR="000238CB" w:rsidRPr="00B45E0B">
                <w:rPr>
                  <w:rStyle w:val="Hyperlink"/>
                  <w:rFonts w:ascii="Arial" w:hAnsi="Arial"/>
                  <w:rtl/>
                </w:rPr>
                <w:t>כאן</w:t>
              </w:r>
            </w:hyperlink>
            <w:r w:rsidR="000238CB" w:rsidRPr="00B45E0B">
              <w:rPr>
                <w:rFonts w:ascii="Arial" w:hAnsi="Arial" w:hint="cs"/>
                <w:rtl/>
              </w:rPr>
              <w:t>) ו</w:t>
            </w:r>
            <w:r w:rsidR="000238CB" w:rsidRPr="00B45E0B">
              <w:rPr>
                <w:rFonts w:ascii="Arial" w:hAnsi="Arial"/>
                <w:rtl/>
              </w:rPr>
              <w:t xml:space="preserve">בנוסף קטע אנסין. </w:t>
            </w:r>
          </w:p>
          <w:p w:rsidR="000238CB" w:rsidRPr="00B45E0B" w:rsidRDefault="005250CA" w:rsidP="00B45E0B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/>
              </w:rPr>
            </w:pPr>
            <w:hyperlink r:id="rId9" w:history="1">
              <w:r w:rsidR="000238CB" w:rsidRPr="00B45E0B">
                <w:rPr>
                  <w:rStyle w:val="Hyperlink"/>
                  <w:rFonts w:asciiTheme="minorBidi" w:hAnsiTheme="minorBidi" w:hint="cs"/>
                  <w:rtl/>
                </w:rPr>
                <w:t xml:space="preserve">בין </w:t>
              </w:r>
              <w:proofErr w:type="spellStart"/>
              <w:r w:rsidR="000238CB" w:rsidRPr="00B45E0B">
                <w:rPr>
                  <w:rStyle w:val="Hyperlink"/>
                  <w:rFonts w:asciiTheme="minorBidi" w:hAnsiTheme="minorBidi" w:hint="cs"/>
                  <w:rtl/>
                </w:rPr>
                <w:t>אוטופגיה</w:t>
              </w:r>
              <w:proofErr w:type="spellEnd"/>
              <w:r w:rsidR="000238CB" w:rsidRPr="00B45E0B">
                <w:rPr>
                  <w:rStyle w:val="Hyperlink"/>
                  <w:rFonts w:asciiTheme="minorBidi" w:hAnsiTheme="minorBidi" w:hint="cs"/>
                  <w:rtl/>
                </w:rPr>
                <w:t xml:space="preserve"> </w:t>
              </w:r>
              <w:proofErr w:type="spellStart"/>
              <w:r w:rsidR="000238CB" w:rsidRPr="00B45E0B">
                <w:rPr>
                  <w:rStyle w:val="Hyperlink"/>
                  <w:rFonts w:asciiTheme="minorBidi" w:hAnsiTheme="minorBidi" w:hint="cs"/>
                  <w:rtl/>
                </w:rPr>
                <w:t>להומאוסטאזיס</w:t>
              </w:r>
              <w:proofErr w:type="spellEnd"/>
              <w:r w:rsidR="000238CB" w:rsidRPr="00B45E0B">
                <w:rPr>
                  <w:rStyle w:val="Hyperlink"/>
                  <w:rFonts w:asciiTheme="minorBidi" w:hAnsiTheme="minorBidi" w:hint="cs"/>
                  <w:rtl/>
                </w:rPr>
                <w:t xml:space="preserve"> – דף עבודה על פרס נובל לרפואה 2016</w:t>
              </w:r>
            </w:hyperlink>
            <w:r w:rsidR="000238CB" w:rsidRPr="00B45E0B">
              <w:rPr>
                <w:rFonts w:asciiTheme="minorBidi" w:hAnsiTheme="minorBidi" w:hint="cs"/>
                <w:rtl/>
              </w:rPr>
              <w:t xml:space="preserve">, </w:t>
            </w:r>
            <w:r w:rsidR="000238CB" w:rsidRPr="00B45E0B">
              <w:rPr>
                <w:rFonts w:asciiTheme="minorBidi" w:hAnsiTheme="minorBidi"/>
                <w:rtl/>
              </w:rPr>
              <w:t xml:space="preserve">עדי </w:t>
            </w:r>
            <w:proofErr w:type="spellStart"/>
            <w:r w:rsidR="000238CB" w:rsidRPr="00B45E0B">
              <w:rPr>
                <w:rFonts w:asciiTheme="minorBidi" w:hAnsiTheme="minorBidi"/>
                <w:rtl/>
              </w:rPr>
              <w:t>מרקוזה</w:t>
            </w:r>
            <w:proofErr w:type="spellEnd"/>
            <w:r w:rsidR="000238CB" w:rsidRPr="00B45E0B">
              <w:rPr>
                <w:rFonts w:asciiTheme="minorBidi" w:hAnsiTheme="minorBidi"/>
                <w:rtl/>
              </w:rPr>
              <w:t xml:space="preserve"> הס</w:t>
            </w:r>
            <w:r w:rsidR="000238CB" w:rsidRPr="00B45E0B">
              <w:rPr>
                <w:rFonts w:asciiTheme="minorBidi" w:hAnsiTheme="minorBidi"/>
              </w:rPr>
              <w:t xml:space="preserve">, </w:t>
            </w:r>
            <w:r w:rsidR="000238CB">
              <w:rPr>
                <w:rFonts w:asciiTheme="minorBidi" w:hAnsiTheme="minorBidi" w:hint="cs"/>
                <w:rtl/>
              </w:rPr>
              <w:t xml:space="preserve"> </w:t>
            </w:r>
            <w:r w:rsidR="000238CB" w:rsidRPr="00B45E0B">
              <w:rPr>
                <w:rFonts w:asciiTheme="minorBidi" w:hAnsiTheme="minorBidi"/>
                <w:rtl/>
              </w:rPr>
              <w:t xml:space="preserve">מחברת הספר: מערכות גוף האדם בדגש הומאוסטזיס, בהוצאת רכס </w:t>
            </w:r>
            <w:proofErr w:type="spellStart"/>
            <w:r w:rsidR="000238CB" w:rsidRPr="00B45E0B">
              <w:rPr>
                <w:rFonts w:asciiTheme="minorBidi" w:hAnsiTheme="minorBidi"/>
                <w:rtl/>
              </w:rPr>
              <w:t>פרוייקטים</w:t>
            </w:r>
            <w:proofErr w:type="spellEnd"/>
            <w:r w:rsidR="000238CB" w:rsidRPr="00B45E0B">
              <w:rPr>
                <w:rFonts w:asciiTheme="minorBidi" w:hAnsiTheme="minorBidi"/>
                <w:rtl/>
              </w:rPr>
              <w:t xml:space="preserve"> חינוכיים</w:t>
            </w:r>
            <w:r w:rsidR="000238CB">
              <w:rPr>
                <w:rFonts w:ascii="Arial" w:hAnsi="Arial" w:hint="cs"/>
                <w:rtl/>
              </w:rPr>
              <w:t>.</w:t>
            </w:r>
          </w:p>
          <w:p w:rsidR="000238CB" w:rsidRPr="00B429DD" w:rsidRDefault="005250CA" w:rsidP="00B429DD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</w:rPr>
            </w:pPr>
            <w:hyperlink r:id="rId10" w:history="1">
              <w:r w:rsidR="000238CB" w:rsidRPr="00B429DD">
                <w:rPr>
                  <w:rStyle w:val="Hyperlink"/>
                  <w:rFonts w:ascii="Arial" w:hAnsi="Arial"/>
                  <w:rtl/>
                </w:rPr>
                <w:t>מנגנוני פירוק בתא</w:t>
              </w:r>
            </w:hyperlink>
            <w:r w:rsidR="000238CB" w:rsidRPr="00B429DD">
              <w:rPr>
                <w:rFonts w:ascii="Arial" w:hAnsi="Arial"/>
                <w:rtl/>
              </w:rPr>
              <w:t xml:space="preserve"> (2017) ד"ר זהר סנפיר וד"ר ציפי הופמן, דף פעילות</w:t>
            </w:r>
            <w:r w:rsidR="000238CB" w:rsidRPr="00B429DD">
              <w:rPr>
                <w:rFonts w:ascii="Arial" w:hAnsi="Arial" w:hint="cs"/>
                <w:rtl/>
              </w:rPr>
              <w:t xml:space="preserve"> על מנגנוני מוות שונים בתאים ובו התייחסות לתוצאות מחקר של פרופ' קמחי</w:t>
            </w:r>
            <w:r w:rsidR="000238CB">
              <w:rPr>
                <w:rFonts w:ascii="Arial" w:hAnsi="Arial"/>
                <w:rtl/>
              </w:rPr>
              <w:t>.</w:t>
            </w:r>
          </w:p>
          <w:p w:rsidR="000238CB" w:rsidRPr="00B429DD" w:rsidRDefault="005250CA" w:rsidP="00B429DD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  <w:rtl/>
              </w:rPr>
            </w:pPr>
            <w:hyperlink r:id="rId11" w:history="1">
              <w:r w:rsidR="000238CB" w:rsidRPr="00B429DD">
                <w:rPr>
                  <w:rStyle w:val="Hyperlink"/>
                  <w:rFonts w:ascii="Arial" w:hAnsi="Arial"/>
                  <w:rtl/>
                </w:rPr>
                <w:t xml:space="preserve">פרופ' עדי קמחי, זוכת פרס </w:t>
              </w:r>
              <w:proofErr w:type="spellStart"/>
              <w:r w:rsidR="000238CB" w:rsidRPr="00B429DD">
                <w:rPr>
                  <w:rStyle w:val="Hyperlink"/>
                  <w:rFonts w:ascii="Arial" w:hAnsi="Arial"/>
                  <w:rtl/>
                </w:rPr>
                <w:t>א.מ.ת</w:t>
              </w:r>
              <w:proofErr w:type="spellEnd"/>
            </w:hyperlink>
            <w:r w:rsidR="000238CB" w:rsidRPr="00B429DD">
              <w:rPr>
                <w:rFonts w:ascii="Arial" w:hAnsi="Arial"/>
                <w:rtl/>
              </w:rPr>
              <w:t xml:space="preserve"> (2012) סרטון</w:t>
            </w:r>
          </w:p>
        </w:tc>
      </w:tr>
      <w:tr w:rsidR="000238CB" w:rsidTr="000238CB">
        <w:trPr>
          <w:trHeight w:val="664"/>
        </w:trPr>
        <w:tc>
          <w:tcPr>
            <w:tcW w:w="1523" w:type="dxa"/>
          </w:tcPr>
          <w:p w:rsidR="000238CB" w:rsidRPr="00E9516D" w:rsidRDefault="000238CB" w:rsidP="006516A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lastRenderedPageBreak/>
              <w:t>مصادر معلومات</w:t>
            </w:r>
          </w:p>
        </w:tc>
        <w:tc>
          <w:tcPr>
            <w:tcW w:w="7227" w:type="dxa"/>
          </w:tcPr>
          <w:p w:rsidR="000238CB" w:rsidRPr="00FA6303" w:rsidRDefault="005250CA" w:rsidP="00FA6303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  <w:rtl/>
              </w:rPr>
            </w:pPr>
            <w:hyperlink r:id="rId12" w:history="1">
              <w:r w:rsidR="000238CB" w:rsidRPr="00FA6303">
                <w:rPr>
                  <w:rStyle w:val="Hyperlink"/>
                  <w:rFonts w:ascii="Arial" w:hAnsi="Arial" w:cs="Arial"/>
                  <w:rtl/>
                </w:rPr>
                <w:t>כרוניקה של מוות מתוכנן מראש</w:t>
              </w:r>
            </w:hyperlink>
            <w:r w:rsidR="000238CB" w:rsidRPr="00FA6303">
              <w:rPr>
                <w:rFonts w:ascii="Arial" w:hAnsi="Arial"/>
                <w:rtl/>
              </w:rPr>
              <w:t xml:space="preserve"> (1998) נעמי אשחר, גלילאו גיליון 28, בספרייה הווירטואלית של מטח.</w:t>
            </w:r>
          </w:p>
          <w:p w:rsidR="000238CB" w:rsidRPr="00FA6303" w:rsidRDefault="005250CA" w:rsidP="008F27E1">
            <w:pPr>
              <w:rPr>
                <w:rFonts w:ascii="Arial" w:hAnsi="Arial"/>
                <w:color w:val="5A3696"/>
                <w:u w:val="single"/>
                <w:rtl/>
              </w:rPr>
            </w:pPr>
            <w:hyperlink r:id="rId13" w:history="1">
              <w:r w:rsidR="000238CB" w:rsidRPr="00FA6303">
                <w:rPr>
                  <w:rStyle w:val="Hyperlink"/>
                  <w:rFonts w:ascii="Arial" w:hAnsi="Arial" w:cs="Arial"/>
                  <w:rtl/>
                </w:rPr>
                <w:t>תקשורת של מוות למען החיים</w:t>
              </w:r>
            </w:hyperlink>
            <w:r w:rsidR="000238CB" w:rsidRPr="00FA6303">
              <w:rPr>
                <w:rFonts w:ascii="Arial" w:hAnsi="Arial"/>
                <w:rtl/>
              </w:rPr>
              <w:t xml:space="preserve"> (2001) כתבה באתר מסע הקסם המדעי, מכון </w:t>
            </w:r>
            <w:r w:rsidR="000238CB">
              <w:rPr>
                <w:rFonts w:ascii="Arial" w:hAnsi="Arial" w:hint="cs"/>
                <w:rtl/>
              </w:rPr>
              <w:t>ויצמן למדע.</w:t>
            </w:r>
            <w:r w:rsidR="000238CB" w:rsidRPr="00FA6303">
              <w:rPr>
                <w:rFonts w:ascii="Arial" w:hAnsi="Arial"/>
                <w:color w:val="5A3696"/>
                <w:u w:val="single"/>
                <w:rtl/>
              </w:rPr>
              <w:br/>
            </w:r>
          </w:p>
          <w:p w:rsidR="000238CB" w:rsidRPr="00FA6303" w:rsidRDefault="005250CA" w:rsidP="00FA6303">
            <w:pPr>
              <w:autoSpaceDE w:val="0"/>
              <w:autoSpaceDN w:val="0"/>
              <w:adjustRightInd w:val="0"/>
              <w:spacing w:after="240"/>
              <w:rPr>
                <w:rFonts w:ascii="Arial" w:hAnsi="Arial"/>
              </w:rPr>
            </w:pPr>
            <w:hyperlink r:id="rId14" w:history="1">
              <w:r w:rsidR="000238CB" w:rsidRPr="00FA6303">
                <w:rPr>
                  <w:rStyle w:val="Hyperlink"/>
                  <w:rFonts w:ascii="Arial" w:hAnsi="Arial" w:cs="Arial"/>
                  <w:rtl/>
                </w:rPr>
                <w:t>מוות תאי מתוכנן</w:t>
              </w:r>
            </w:hyperlink>
            <w:r w:rsidR="000238CB" w:rsidRPr="00FA6303">
              <w:rPr>
                <w:rFonts w:ascii="Arial" w:hAnsi="Arial"/>
                <w:rtl/>
              </w:rPr>
              <w:t xml:space="preserve"> (2006) עינת </w:t>
            </w:r>
            <w:proofErr w:type="spellStart"/>
            <w:r w:rsidR="000238CB" w:rsidRPr="00FA6303">
              <w:rPr>
                <w:rFonts w:ascii="Arial" w:hAnsi="Arial"/>
                <w:rtl/>
              </w:rPr>
              <w:t>זלצקבר</w:t>
            </w:r>
            <w:proofErr w:type="spellEnd"/>
            <w:r w:rsidR="000238CB" w:rsidRPr="00FA6303">
              <w:rPr>
                <w:rFonts w:ascii="Arial" w:hAnsi="Arial"/>
                <w:rtl/>
              </w:rPr>
              <w:t xml:space="preserve">, תלמידה של </w:t>
            </w:r>
            <w:r w:rsidR="000238CB">
              <w:rPr>
                <w:rFonts w:ascii="Arial" w:hAnsi="Arial" w:hint="cs"/>
                <w:rtl/>
              </w:rPr>
              <w:t xml:space="preserve">פרופ' </w:t>
            </w:r>
            <w:r w:rsidR="000238CB" w:rsidRPr="00FA6303">
              <w:rPr>
                <w:rFonts w:ascii="Arial" w:hAnsi="Arial"/>
                <w:rtl/>
              </w:rPr>
              <w:t xml:space="preserve">עדי קמחי, בהרצאה מתוקשבת למורי ביולוגיה. </w:t>
            </w:r>
            <w:r w:rsidR="000238CB" w:rsidRPr="00FA6303">
              <w:rPr>
                <w:rFonts w:ascii="Arial" w:hAnsi="Arial"/>
                <w:rtl/>
              </w:rPr>
              <w:br/>
            </w:r>
          </w:p>
          <w:p w:rsidR="000238CB" w:rsidRDefault="005250CA" w:rsidP="007F5BDD">
            <w:pPr>
              <w:rPr>
                <w:rFonts w:ascii="Arial" w:hAnsi="Arial"/>
                <w:color w:val="5A3696"/>
                <w:u w:val="single"/>
                <w:rtl/>
              </w:rPr>
            </w:pPr>
            <w:hyperlink r:id="rId15" w:history="1">
              <w:r w:rsidR="000238CB" w:rsidRPr="00FA6303">
                <w:rPr>
                  <w:rStyle w:val="Hyperlink"/>
                  <w:rFonts w:ascii="Arial" w:hAnsi="Arial" w:cs="Arial"/>
                  <w:rtl/>
                </w:rPr>
                <w:t>הרס עצמי</w:t>
              </w:r>
            </w:hyperlink>
            <w:r w:rsidR="000238CB" w:rsidRPr="00FA6303">
              <w:rPr>
                <w:rFonts w:ascii="Arial" w:hAnsi="Arial"/>
                <w:color w:val="5A3696"/>
                <w:u w:val="single"/>
                <w:rtl/>
              </w:rPr>
              <w:t xml:space="preserve"> (2014)  </w:t>
            </w:r>
            <w:r w:rsidR="000238CB" w:rsidRPr="00FA6303">
              <w:rPr>
                <w:rFonts w:ascii="Arial" w:hAnsi="Arial"/>
                <w:rtl/>
              </w:rPr>
              <w:t>כתבה באתר מסע הקסם המדעי, מכון דוידסון</w:t>
            </w:r>
          </w:p>
          <w:p w:rsidR="000238CB" w:rsidRPr="004123FA" w:rsidRDefault="000238CB" w:rsidP="007F5BDD">
            <w:pPr>
              <w:rPr>
                <w:rFonts w:ascii="Arial" w:hAnsi="Arial"/>
                <w:color w:val="000000" w:themeColor="text1"/>
                <w:rtl/>
              </w:rPr>
            </w:pPr>
          </w:p>
          <w:p w:rsidR="000238CB" w:rsidRPr="004123FA" w:rsidRDefault="000238CB" w:rsidP="004123FA">
            <w:pPr>
              <w:pStyle w:val="des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Inbal</w:t>
            </w:r>
            <w:proofErr w:type="spellEnd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B, Cohen O, </w:t>
            </w:r>
            <w:proofErr w:type="spellStart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Polak-Charcon</w:t>
            </w:r>
            <w:proofErr w:type="spellEnd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S, </w:t>
            </w:r>
            <w:proofErr w:type="spellStart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Kopolovic</w:t>
            </w:r>
            <w:proofErr w:type="spellEnd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J, </w:t>
            </w:r>
            <w:proofErr w:type="spellStart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Vadai</w:t>
            </w:r>
            <w:proofErr w:type="spellEnd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E, </w:t>
            </w:r>
            <w:proofErr w:type="spellStart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Eisenbach</w:t>
            </w:r>
            <w:proofErr w:type="spellEnd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L, Kimchi A. (1997) </w:t>
            </w:r>
            <w:hyperlink r:id="rId16" w:history="1">
              <w:r w:rsidRPr="004123F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DAP kinase links the control of apoptosis to metastasis.</w:t>
              </w:r>
            </w:hyperlink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123FA">
              <w:rPr>
                <w:rStyle w:val="jrnl"/>
                <w:rFonts w:ascii="Arial" w:hAnsi="Arial" w:cs="Arial"/>
                <w:color w:val="000000" w:themeColor="text1"/>
                <w:sz w:val="22"/>
                <w:szCs w:val="22"/>
              </w:rPr>
              <w:t>Nature</w:t>
            </w:r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. 390(6656):180-4.</w:t>
            </w:r>
          </w:p>
          <w:p w:rsidR="000238CB" w:rsidRPr="004123FA" w:rsidRDefault="000238CB" w:rsidP="004123FA">
            <w:pPr>
              <w:shd w:val="clear" w:color="auto" w:fill="FFFFFF"/>
              <w:bidi w:val="0"/>
              <w:spacing w:line="336" w:lineRule="atLeast"/>
              <w:ind w:right="2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8CB" w:rsidRPr="004123FA" w:rsidRDefault="000238CB" w:rsidP="004123FA">
            <w:pPr>
              <w:pStyle w:val="Title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Cohen O, Feinstein E, Kimchi A. (1997) </w:t>
            </w:r>
            <w:hyperlink r:id="rId17" w:history="1">
              <w:r w:rsidRPr="004123F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DAP-kinase is a Ca2+/calmodulin-dependent, cytoskeletal-associated protein kinase, with cell death-inducing functions that depend on its catalytic activity.</w:t>
              </w:r>
            </w:hyperlink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123FA">
              <w:rPr>
                <w:rStyle w:val="jrnl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Oncogene</w:t>
            </w:r>
            <w:r w:rsidRPr="004123F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24</w:t>
            </w:r>
            <w:proofErr w:type="gramStart"/>
            <w:r w:rsidRPr="004123F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;15</w:t>
            </w:r>
            <w:proofErr w:type="gramEnd"/>
            <w:r w:rsidRPr="004123F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(4):403-7.</w:t>
            </w:r>
          </w:p>
          <w:p w:rsidR="000238CB" w:rsidRPr="004123FA" w:rsidRDefault="000238CB" w:rsidP="007F5BDD">
            <w:pPr>
              <w:rPr>
                <w:rFonts w:ascii="Arial" w:hAnsi="Arial"/>
                <w:color w:val="000000" w:themeColor="text1"/>
                <w:rtl/>
              </w:rPr>
            </w:pPr>
          </w:p>
          <w:p w:rsidR="000238CB" w:rsidRPr="004123FA" w:rsidRDefault="000238CB" w:rsidP="004123FA">
            <w:pPr>
              <w:pStyle w:val="Title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Shiloh R, </w:t>
            </w:r>
            <w:proofErr w:type="spellStart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Bialik</w:t>
            </w:r>
            <w:proofErr w:type="spellEnd"/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S, Kimchi A. (2014) </w:t>
            </w:r>
            <w:hyperlink r:id="rId18" w:history="1">
              <w:r w:rsidRPr="004123F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The DAPK family: a structure-function analysis.</w:t>
              </w:r>
            </w:hyperlink>
            <w:r w:rsidRPr="004123FA">
              <w:rPr>
                <w:rStyle w:val="jrnl"/>
                <w:rFonts w:ascii="Arial" w:hAnsi="Arial" w:cs="Arial"/>
                <w:color w:val="000000" w:themeColor="text1"/>
                <w:sz w:val="22"/>
                <w:szCs w:val="22"/>
              </w:rPr>
              <w:t xml:space="preserve"> Apoptosis</w:t>
            </w:r>
            <w:r w:rsidRPr="004123FA">
              <w:rPr>
                <w:rFonts w:ascii="Arial" w:hAnsi="Arial" w:cs="Arial"/>
                <w:color w:val="000000" w:themeColor="text1"/>
                <w:sz w:val="22"/>
                <w:szCs w:val="22"/>
              </w:rPr>
              <w:t>. 19(2):286-9</w:t>
            </w:r>
          </w:p>
          <w:p w:rsidR="000238CB" w:rsidRPr="007F5BDD" w:rsidRDefault="000238CB" w:rsidP="007F5BDD">
            <w:pPr>
              <w:rPr>
                <w:rFonts w:ascii="Arial" w:hAnsi="Arial"/>
                <w:color w:val="5A3696"/>
                <w:u w:val="single"/>
                <w:rtl/>
              </w:rPr>
            </w:pPr>
          </w:p>
        </w:tc>
      </w:tr>
    </w:tbl>
    <w:p w:rsidR="005E27B9" w:rsidRDefault="005E27B9"/>
    <w:sectPr w:rsidR="005E27B9" w:rsidSect="00656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7EA"/>
    <w:multiLevelType w:val="hybridMultilevel"/>
    <w:tmpl w:val="FB4C36B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righ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righ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righ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righ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righ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righ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righ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righ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right="6765" w:hanging="360"/>
      </w:pPr>
      <w:rPr>
        <w:rFonts w:ascii="Wingdings" w:hAnsi="Wingdings" w:hint="default"/>
      </w:rPr>
    </w:lvl>
  </w:abstractNum>
  <w:abstractNum w:abstractNumId="1" w15:restartNumberingAfterBreak="0">
    <w:nsid w:val="2F9520E1"/>
    <w:multiLevelType w:val="hybridMultilevel"/>
    <w:tmpl w:val="01CAEF7C"/>
    <w:lvl w:ilvl="0" w:tplc="E4D8CE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1389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36"/>
    <w:rsid w:val="000238CB"/>
    <w:rsid w:val="00053F95"/>
    <w:rsid w:val="000A3666"/>
    <w:rsid w:val="00100236"/>
    <w:rsid w:val="001236F0"/>
    <w:rsid w:val="0014745A"/>
    <w:rsid w:val="0017317F"/>
    <w:rsid w:val="001740E8"/>
    <w:rsid w:val="001A460E"/>
    <w:rsid w:val="001D1EAC"/>
    <w:rsid w:val="00256BEA"/>
    <w:rsid w:val="002918A5"/>
    <w:rsid w:val="003660ED"/>
    <w:rsid w:val="00395F90"/>
    <w:rsid w:val="003A1004"/>
    <w:rsid w:val="003B3432"/>
    <w:rsid w:val="003E31C6"/>
    <w:rsid w:val="003E658B"/>
    <w:rsid w:val="004123FA"/>
    <w:rsid w:val="00434D2A"/>
    <w:rsid w:val="00437A40"/>
    <w:rsid w:val="00476F6A"/>
    <w:rsid w:val="004C16EE"/>
    <w:rsid w:val="005250CA"/>
    <w:rsid w:val="005D7F09"/>
    <w:rsid w:val="005E27B9"/>
    <w:rsid w:val="005E60E7"/>
    <w:rsid w:val="0060381B"/>
    <w:rsid w:val="0064038F"/>
    <w:rsid w:val="00656DD6"/>
    <w:rsid w:val="00684243"/>
    <w:rsid w:val="00697DA9"/>
    <w:rsid w:val="006B6BBC"/>
    <w:rsid w:val="006D5F4A"/>
    <w:rsid w:val="00715F20"/>
    <w:rsid w:val="00790F38"/>
    <w:rsid w:val="007922E5"/>
    <w:rsid w:val="007D0B8C"/>
    <w:rsid w:val="007F5BDD"/>
    <w:rsid w:val="00852F32"/>
    <w:rsid w:val="00863B17"/>
    <w:rsid w:val="008723AC"/>
    <w:rsid w:val="008F27E1"/>
    <w:rsid w:val="00984E1F"/>
    <w:rsid w:val="00987419"/>
    <w:rsid w:val="009B670C"/>
    <w:rsid w:val="009C12EC"/>
    <w:rsid w:val="009D6D0C"/>
    <w:rsid w:val="00AB05D4"/>
    <w:rsid w:val="00AE00EF"/>
    <w:rsid w:val="00B16577"/>
    <w:rsid w:val="00B429DD"/>
    <w:rsid w:val="00B45E0B"/>
    <w:rsid w:val="00B71529"/>
    <w:rsid w:val="00BB26B8"/>
    <w:rsid w:val="00C572D3"/>
    <w:rsid w:val="00CA1EBE"/>
    <w:rsid w:val="00CA7AA5"/>
    <w:rsid w:val="00CD3D59"/>
    <w:rsid w:val="00CE143C"/>
    <w:rsid w:val="00D51D19"/>
    <w:rsid w:val="00DF3225"/>
    <w:rsid w:val="00DF5230"/>
    <w:rsid w:val="00E815CE"/>
    <w:rsid w:val="00EE4CF3"/>
    <w:rsid w:val="00F020C3"/>
    <w:rsid w:val="00F51399"/>
    <w:rsid w:val="00F954D4"/>
    <w:rsid w:val="00FA6303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B0AD"/>
  <w15:docId w15:val="{0A56B51C-9084-4297-AFB8-C2CE2B4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2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02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023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A6303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715F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715F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15F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15F20"/>
  </w:style>
  <w:style w:type="paragraph" w:customStyle="1" w:styleId="links">
    <w:name w:val="links"/>
    <w:basedOn w:val="Normal"/>
    <w:rsid w:val="004123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1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52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1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722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6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51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9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2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59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7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teach.org.il/%D7%AA%D7%95%D7%9B%D7%9F-%D7%A2%D7%99%D7%95%D7%A0%D7%99/%D7%A0%D7%95%D7%A9%D7%90%D7%99-%D7%9C%D7%99%D7%91%D7%94/%D7%94%D7%AA%D7%90-%D7%9E%D7%91%D7%A0%D7%94-%D7%95%D7%A4%D7%A2%D7%99%D7%9C%D7%95%D7%AA/%D7%9E%D7%A6%D7%92%D7%95%D7%AA-%D7%95%D7%A1%D7%A8%D7%98%D7%95%D7%A0%D7%99%D7%9D-24/173-%D7%A9%D7%A7%D7%A4%D7%99%D7%9D-%D7%91%D7%A0%D7%95%D7%A9%D7%90-%D7%90%D7%A4%D7%95%D7%A4%D7%98%D7%95%D7%96%D7%99%D7%A1-%D7%9E%D7%95%D7%95%D7%AA-%D7%AA%D7%90%D7%99%D7%9D-%D7%9E%D7%AA%D7%95%D7%9B%D7%A0%D7%AA" TargetMode="External"/><Relationship Id="rId13" Type="http://schemas.openxmlformats.org/officeDocument/2006/relationships/hyperlink" Target="https://heb.wis-wander.weizmann.ac.il/%D7%AA%D7%A7%D7%A9%D7%95%D7%A8%D7%AA-%D7%A9%D7%9C-%D7%9E%D7%95%D7%95%D7%AA-%D7%9C%D7%9E%D7%A2%D7%9F-%D7%94%D7%97%D7%99%D7%99%D7%9D/%D7%97%D7%93%D7%A9%D7%95%D7%AA-%D7%9E%D7%93%D7%A2-%D7%91%D7%A9%D7%A4%D7%94-%D7%99%D7%93%D7%99%D7%93%D7%95%D7%AA%D7%99%D7%AA" TargetMode="External"/><Relationship Id="rId18" Type="http://schemas.openxmlformats.org/officeDocument/2006/relationships/hyperlink" Target="https://www.ncbi.nlm.nih.gov/pubmed/24220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teach.org.il/%D7%9E%D7%A4%D7%A2%D7%99%D7%9C%D7%95%D7%99%D7%95%D7%AA-%D7%94%D7%9E%D7%A8%D7%9B%D7%96/%D7%A2%D7%9C%D7%95%D7%9F-%D7%94%D7%9E%D7%95%D7%A8%D7%99%D7%9D-%D7%9C%D7%91%D7%99%D7%95%D7%9C%D7%95%D7%92%D7%99%D7%94-%D7%95%D7%9C%D7%9E%D7%93%D7%A2%D7%99-%D7%94%D7%A1%D7%91%D7%99%D7%91%D7%94/%D7%A2%D7%9C%D7%95%D7%9F-170-2004/1568-%D7%9E%D7%A2%D7%A8%D7%9A-%D7%A9%D7%99%D7%A2%D7%95%D7%A8-%D7%91%D7%A0%D7%95%D7%A9%D7%90-%D7%90%D7%A4%D7%95%D7%A4%D7%98%D7%95%D7%96%D7%99%D7%A1-%D7%9B%D7%A8%D7%9E%D7%9C%D7%94-%D7%99%D7%92%D7%91" TargetMode="External"/><Relationship Id="rId12" Type="http://schemas.openxmlformats.org/officeDocument/2006/relationships/hyperlink" Target="http://lib.cet.ac.il/pages/item.asp?item=9252" TargetMode="External"/><Relationship Id="rId17" Type="http://schemas.openxmlformats.org/officeDocument/2006/relationships/hyperlink" Target="https://www.ncbi.nlm.nih.gov/pubmed/91189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93671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metprize.org/%D7%94%D7%96%D7%95%D7%9B%D7%99%D7%9D-%D7%91%D7%A4%D7%A8%D7%A1/%D7%9E%D7%93%D7%A2%D7%99-%D7%94%D7%97%D7%99%D7%99%D7%9D/%D7%A4%D7%99%D7%96%D7%99%D7%95%D7%9C%D7%95%D7%92%D7%99%D7%94/%D7%A4%D7%A8%D7%95%D7%A4-%D7%A2%D7%93%D7%99-%D7%A7%D7%9E%D7%97%D7%99/" TargetMode="External"/><Relationship Id="rId11" Type="http://schemas.openxmlformats.org/officeDocument/2006/relationships/hyperlink" Target="https://www.youtube.com/watch?v=ELTuzFkFsz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b.wis-wander.weizmann.ac.il/%D7%94%D7%A8%D7%A1-%D7%A2%D7%A6%D7%9E%D7%99/%D7%9E%D7%93%D7%A2%D7%99-%D7%94%D7%97%D7%99%D7%99%D7%9D-0" TargetMode="External"/><Relationship Id="rId10" Type="http://schemas.openxmlformats.org/officeDocument/2006/relationships/hyperlink" Target="https://www.bioteach.org.il/%D7%AA%D7%95%D7%9B%D7%9F-%D7%A2%D7%99%D7%95%D7%A0%D7%99/%D7%A0%D7%95%D7%A9%D7%90%D7%99-%D7%9C%D7%99%D7%91%D7%94/%D7%94%D7%AA%D7%90-%D7%9E%D7%91%D7%A0%D7%94-%D7%95%D7%A4%D7%A2%D7%99%D7%9C%D7%95%D7%AA/%D7%93%D7%A4%D7%99-%D7%A2%D7%91%D7%95%D7%93%D7%94-24/3906-%D7%9E%D7%A0%D7%92%D7%A0%D7%95%D7%A0%D7%99-%D7%A4%D7%99%D7%A8%D7%95%D7%A7-%D7%91%D7%AA%D7%90-20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teach.org.il/%D7%AA%D7%95%D7%9B%D7%9F-%D7%A2%D7%99%D7%95%D7%A0%D7%99/%D7%A0%D7%95%D7%A9%D7%90%D7%99-%D7%9C%D7%99%D7%91%D7%94/%D7%92%D7%95%D7%A3-%D7%94%D7%90%D7%93%D7%9D-%D7%91%D7%93%D7%92%D7%A9-%D7%94%D7%95%D7%9E%D7%90%D7%95%D7%A1%D7%98%D7%90%D7%96%D7%99%D7%A1/%D7%93%D7%A4%D7%99-%D7%A2%D7%91%D7%95%D7%93%D7%94-23/3501-%D7%91%D7%99%D7%9F-%D7%90%D7%95%D7%98%D7%95%D7%A4%D7%92%D7%99%D7%94-%D7%9C%D7%94%D7%95%D7%9E%D7%99%D7%90%D7%95%D7%A1%D7%98%D7%96%D7%99%D7%A1-%D7%93%D7%A3-%D7%A2%D7%91%D7%95%D7%93%D7%94-%D7%A2%D7%9C-%D7%A4%D7%A8%D7%A1-%D7%A0%D7%95%D7%91%D7%9C-%D7%9C%D7%A8%D7%A4%D7%95%D7%90%D7%94-2016/file" TargetMode="External"/><Relationship Id="rId14" Type="http://schemas.openxmlformats.org/officeDocument/2006/relationships/hyperlink" Target="https://www.bioteach.org.il/%D7%91%D7%99%D7%95%D7%9C%D7%95%D7%92%D7%99%D7%94-%D7%91%D7%A8%D7%A9%D7%AA/%D7%94%D7%A8%D7%A6%D7%90%D7%95%D7%AA-%D7%91%D7%A8%D7%A9%D7%AA/%D7%94%D7%A8%D7%A6%D7%90%D7%95%D7%AA-%D7%91%D7%A0%D7%95%D7%A9%D7%90-%D7%AA%D7%94%D7%9C%D7%99%D7%9B%D7%99%D7%9D-%D7%91%D7%AA%D7%90/2864-%D7%90%D7%A4%D7%95%D7%A4%D7%98%D7%95%D7%96%D7%99%D7%A1-%D7%95%D7%97%D7%A9%D7%99%D7%91%D7%95%D7%AA%D7%95-%D7%91%D7%94%D7%AA%D7%A4%D7%AA%D7%97%D7%95%D7%AA-%D7%92%D7%99%D7%93%D7%95%D7%9C%D7%99%D7%9D-%D7%A1%D7%A8%D7%98%D7%A0%D7%99%D7%99%D7%9D-%D7%95%D7%9E%D7%97%D7%9C%D7%95%D7%AA-%D7%A0%D7%99%D7%95%D7%95%D7%9F-%D7%A0%D7%95%D7%99%D7%A8%D7%95%D7%9C%D7%95%D7%92%D7%99%D7%95%D7%AA-2006-,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1697</Words>
  <Characters>8489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Oksana Rubanov</cp:lastModifiedBy>
  <cp:revision>6</cp:revision>
  <dcterms:created xsi:type="dcterms:W3CDTF">2018-07-14T11:15:00Z</dcterms:created>
  <dcterms:modified xsi:type="dcterms:W3CDTF">2018-08-19T10:50:00Z</dcterms:modified>
</cp:coreProperties>
</file>